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5" w:type="dxa"/>
        <w:tblInd w:w="-251" w:type="dxa"/>
        <w:tblLook w:val="0000" w:firstRow="0" w:lastRow="0" w:firstColumn="0" w:lastColumn="0" w:noHBand="0" w:noVBand="0"/>
      </w:tblPr>
      <w:tblGrid>
        <w:gridCol w:w="5349"/>
        <w:gridCol w:w="4896"/>
      </w:tblGrid>
      <w:tr w:rsidR="000616B1" w:rsidRPr="00D93E4B" w:rsidTr="005B72C8">
        <w:trPr>
          <w:trHeight w:val="2865"/>
        </w:trPr>
        <w:tc>
          <w:tcPr>
            <w:tcW w:w="5349" w:type="dxa"/>
          </w:tcPr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96" w:type="dxa"/>
          </w:tcPr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«ЕвроСибЭнерго-тепловая энергия»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А.О. </w:t>
            </w:r>
            <w:proofErr w:type="spellStart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Тельбухов</w:t>
            </w:r>
            <w:proofErr w:type="spellEnd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 2022г.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firstLine="5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6B1" w:rsidRPr="00D93E4B" w:rsidRDefault="000616B1" w:rsidP="000616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6B1" w:rsidRDefault="00330F07" w:rsidP="000616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</w:t>
      </w:r>
      <w:r w:rsidR="000616B1" w:rsidRPr="00D93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330F07" w:rsidRPr="00330F07" w:rsidRDefault="00330F07" w:rsidP="00330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</w:t>
      </w:r>
    </w:p>
    <w:p w:rsidR="000616B1" w:rsidRPr="00330F07" w:rsidRDefault="00330F07" w:rsidP="000616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F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по выполнению</w:t>
      </w:r>
      <w:r w:rsidR="000616B1" w:rsidRPr="00330F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комплексных </w:t>
      </w:r>
      <w:r w:rsidR="00A756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инженерных изысканий, разработке</w:t>
      </w:r>
      <w:r w:rsidR="000616B1" w:rsidRPr="00330F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проектной и рабочей документации по объекту «Комплекс очистных сооружений </w:t>
      </w:r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поверхностных ливневых (дождевых) и талых сточных вод, дренажных вод ОРУ-110, ОРУ-220 и </w:t>
      </w:r>
      <w:proofErr w:type="spellStart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промплощадки</w:t>
      </w:r>
      <w:proofErr w:type="spellEnd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proofErr w:type="spellStart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Ондской</w:t>
      </w:r>
      <w:proofErr w:type="spellEnd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ГЭС» </w:t>
      </w:r>
    </w:p>
    <w:p w:rsidR="000616B1" w:rsidRPr="00D93E4B" w:rsidRDefault="000616B1" w:rsidP="000616B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286FFC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num" w:pos="1418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z w:val="24"/>
          <w:szCs w:val="24"/>
        </w:rPr>
        <w:t>Основание для проектирования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</w:pPr>
      <w:r w:rsidRPr="00D93E4B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  <w:t xml:space="preserve">Утвержденный и согласованный Сводный стратегический план по управлению экологическими рисками ООО «ЕвроСибЭнерго-тепловая энергия» на 2021-2026 годы,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</w:pPr>
      <w:r w:rsidRPr="00D93E4B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  <w:t>Выполнение требований действующего природоохранного законодательства по сбору и очистке поверхностных ливневых и дренажных вод.</w:t>
      </w:r>
    </w:p>
    <w:p w:rsidR="000616B1" w:rsidRPr="00D93E4B" w:rsidRDefault="000616B1" w:rsidP="000616B1">
      <w:pPr>
        <w:widowControl w:val="0"/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Вид строительства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Новое строительство.</w:t>
      </w:r>
    </w:p>
    <w:p w:rsidR="000616B1" w:rsidRPr="00D93E4B" w:rsidRDefault="000616B1" w:rsidP="000616B1">
      <w:pPr>
        <w:tabs>
          <w:tab w:val="left" w:pos="426"/>
          <w:tab w:val="left" w:pos="851"/>
          <w:tab w:val="left" w:pos="1429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Район и площадка строительства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Республика Карелия, Сегежский район, д. Каменный Бор, ул. Набережная, д.1В</w:t>
      </w:r>
    </w:p>
    <w:p w:rsidR="000616B1" w:rsidRPr="00D93E4B" w:rsidRDefault="000616B1" w:rsidP="000616B1">
      <w:pPr>
        <w:tabs>
          <w:tab w:val="left" w:pos="426"/>
          <w:tab w:val="left" w:pos="851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ООО «ЕвроСибЭнерго-тепловая энергия» (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Ондская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ГЭС)</w:t>
      </w:r>
    </w:p>
    <w:p w:rsidR="000616B1" w:rsidRPr="00D93E4B" w:rsidRDefault="000616B1" w:rsidP="000616B1">
      <w:pPr>
        <w:tabs>
          <w:tab w:val="left" w:pos="426"/>
          <w:tab w:val="left" w:pos="851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Класс сооружений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Класс сооружений для очистки поверхностных ливневых дренажных сточных вод согласно примечанию 2 Приложения А ГОСТ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3E4B">
        <w:rPr>
          <w:rFonts w:ascii="Times New Roman" w:eastAsia="Calibri" w:hAnsi="Times New Roman" w:cs="Times New Roman"/>
          <w:sz w:val="24"/>
          <w:szCs w:val="24"/>
        </w:rPr>
        <w:t>27751-2014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«Надежность строительных конструкций и оснований. Основные положения (Переиздание)» и письма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Росстандарта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от 03.10.2017 г. N 1567-ОГ/03: </w:t>
      </w:r>
    </w:p>
    <w:p w:rsidR="000616B1" w:rsidRPr="00D93E4B" w:rsidRDefault="000616B1" w:rsidP="000616B1">
      <w:pPr>
        <w:tabs>
          <w:tab w:val="left" w:pos="426"/>
          <w:tab w:val="left" w:pos="851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- КС-2 (нормальный уровень ответственности</w:t>
      </w:r>
      <w:r w:rsidRPr="00D93E4B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16B1" w:rsidRPr="00D93E4B" w:rsidRDefault="000616B1" w:rsidP="000616B1">
      <w:pPr>
        <w:tabs>
          <w:tab w:val="left" w:pos="426"/>
          <w:tab w:val="left" w:pos="851"/>
          <w:tab w:val="left" w:pos="1429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Объем проектной и рабочей документации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Проектная документация, разработанная в соответствии с действующей в РФ нормативно-правовой базой, во всех ее частях, в объёме, достаточном для осуществления нового строительства комплекса очистных сооружений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Ондской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 и предусмотренном Постановлением Правительства Российской Федерации от 16.02.2008 № 87 «О составе разделов проектной документации и требованиях к их содержанию»: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1. «Пояснительная записка»;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2. «Схема планировочной организации земельного участка»;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3. «Архитектурные решения»;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4. «Конструктивные и объемно-планировочные решения»;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B39B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- Раздел 5.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6. «Проект организации строительства» (ПОС). Обязательно прописать коэффициенты на условия производства работ (стесненность, вредность и др.) в полном соответствии с действующей нормативно-методической документацией;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7. «Проект организации работ по сносу или демонтажу объектов капитального строительства (выполняется при необходимости сноса или демонтажа объекта, или части объекта капитального строительства)»;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8. «Перечень мероприятий по охране окружающей среды»</w:t>
      </w:r>
      <w:r w:rsidR="000E3C70" w:rsidRPr="001F124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</w:t>
      </w:r>
      <w:r w:rsidR="000E3C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ПМООС)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оформляется в полном объеме с необходимыми исходно-разрешительными документами с получением всех необходимых согласований точек сброса и параметров выпусков очищенных сточных вод с контролирующими надзорными органами в соответствии с требованиями действующего законодательства, в том числе получением всех необходимых соответствующих технических условий;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9. «Мероприятия по обеспечению пожарной безопасности»;</w:t>
      </w:r>
    </w:p>
    <w:p w:rsidR="000616B1" w:rsidRPr="00D93E4B" w:rsidRDefault="000616B1" w:rsidP="000616B1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-Раздел 10. «Требования к обеспечению безопасной эксплуатации объектов капитального строительства»</w:t>
      </w:r>
    </w:p>
    <w:p w:rsidR="000616B1" w:rsidRPr="00D93E4B" w:rsidRDefault="000616B1" w:rsidP="000616B1">
      <w:pPr>
        <w:tabs>
          <w:tab w:val="left" w:pos="851"/>
        </w:tabs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11.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12.</w:t>
      </w:r>
      <w:r w:rsidRPr="00D93E4B" w:rsidDel="005B766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Иная документация в случаях, предусмотренных федеральными законами (при необходимости).</w:t>
      </w:r>
    </w:p>
    <w:p w:rsidR="001579A4" w:rsidRDefault="000616B1" w:rsidP="001579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Раздел 12.1 </w:t>
      </w:r>
      <w:r w:rsid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Оценка воздействия на водные биологические ресурсы и среду их обитания от планируемой хозяйственной деятельности</w:t>
      </w:r>
      <w:r w:rsid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Согласовать </w:t>
      </w:r>
      <w:r w:rsidR="00A413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необходимые 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материалы</w:t>
      </w:r>
      <w:r w:rsidR="00A413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(тома) проектной документации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 Северо-Западном территориальном управлении Федерального агентства по рыболовству в установленном законодательством порядке (по доверенности</w:t>
      </w:r>
      <w:r w:rsidR="007862D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от Заказчика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).</w:t>
      </w:r>
    </w:p>
    <w:p w:rsidR="001579A4" w:rsidRPr="00D93E4B" w:rsidRDefault="001579A4" w:rsidP="001579A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12.2</w:t>
      </w:r>
      <w:r w:rsidRPr="00157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r w:rsidRPr="00157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Оценка воздействия на </w:t>
      </w:r>
      <w:r w:rsid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окружающую</w:t>
      </w:r>
      <w:r w:rsidRPr="00157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среду</w:t>
      </w:r>
      <w:r w:rsid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0E3C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(ОВОС)</w:t>
      </w:r>
      <w:r w:rsidRPr="00157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="009273AB" w:rsidRPr="009273AB">
        <w:rPr>
          <w:rFonts w:ascii="Times New Roman" w:hAnsi="Times New Roman" w:cs="Times New Roman"/>
          <w:sz w:val="24"/>
          <w:szCs w:val="24"/>
        </w:rPr>
        <w:t xml:space="preserve"> </w:t>
      </w:r>
      <w:r w:rsidR="009273AB">
        <w:rPr>
          <w:rFonts w:ascii="Times New Roman" w:hAnsi="Times New Roman" w:cs="Times New Roman"/>
          <w:sz w:val="24"/>
          <w:szCs w:val="24"/>
        </w:rPr>
        <w:t xml:space="preserve">Раздел разрабатывается </w:t>
      </w:r>
      <w:r w:rsidR="009273AB" w:rsidRP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соответствии</w:t>
      </w:r>
      <w:r w:rsidR="009273AB" w:rsidRP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 Приказом Мин</w:t>
      </w:r>
      <w:r w:rsidR="000E3C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истерства природных ресурсов и </w:t>
      </w:r>
      <w:r w:rsidR="009273AB" w:rsidRP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экологии</w:t>
      </w:r>
      <w:r w:rsidR="000E3C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РФ</w:t>
      </w:r>
      <w:r w:rsidR="009273AB" w:rsidRPr="009273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№999 от 01.12.2020г.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состав проектной документации может быть дополнен по предложению Исполнителя.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Выполнить обосновывающие расчеты, подтверждающие отсутствие необходимости установления санитарно-защитной зоны очистных сооружений.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Проектная документация должна быть выполнена с делением на отдельные этапы строительства в объеме, необходимом для осуществления каждого этапа строительства и поэтапного ввода объектов строительства в эксплуатацию. 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В составе проектной документации должны быть разработаны:</w:t>
      </w:r>
    </w:p>
    <w:p w:rsidR="000616B1" w:rsidRPr="00D93E4B" w:rsidRDefault="000616B1" w:rsidP="000616B1">
      <w:p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- технические требования (опросные листы) на применяемое оборудование. Сборник опросных листов и технических требований заводам-изготовителям должны быть оформлены отдельной книгой;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- ведомость оборудования и материалов, ведомость объемов работ на каждый этап (в ведомостях объемов работ прописать условия производства работ в соответствии с действующей нормативно-методической документацией по видам и месту их проведения (по позиционно), с привязкой к условиям действующего предприятия);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- проектные спецификации выдать дополнительно в электронном виде в формате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Excel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  <w:tab w:val="left" w:pos="2138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На основе принятых в проектной документации технических и иных решений, а также после положительного заключения Государственной экспертизы проектной документации, разработать рабочую документацию в соответствии с действующими нормами, правилами и регламентами,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 учетом особенностей объекта,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 xml:space="preserve">в объеме полного комплекта (основной комплект, прилагаемые документы и ссылочные документы) в соответствии с ГОСТ Р 21.1101-2013. В рабочей документации сформировать ведомости объемов работ. В ведомостях объемов работ прописать условия производства работ в соответствии с действующей нормативно-методической документацией </w:t>
      </w:r>
      <w:r w:rsidRPr="00D93E4B">
        <w:rPr>
          <w:rFonts w:ascii="Times New Roman" w:eastAsia="Calibri" w:hAnsi="Times New Roman" w:cs="Times New Roman"/>
          <w:w w:val="105"/>
          <w:sz w:val="24"/>
          <w:szCs w:val="24"/>
        </w:rPr>
        <w:t xml:space="preserve">по видам и месту их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проведения (по позиционно), с привязкой</w:t>
      </w:r>
      <w:r w:rsidRPr="00D93E4B">
        <w:rPr>
          <w:rFonts w:ascii="Times New Roman" w:eastAsia="Calibri" w:hAnsi="Times New Roman" w:cs="Times New Roman"/>
          <w:w w:val="105"/>
          <w:sz w:val="24"/>
          <w:szCs w:val="24"/>
        </w:rPr>
        <w:t xml:space="preserve"> к условиям действующего предприятия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. В составе рабочей документации разработать «Сметную документацию» (выполняется в полном объеме (ССР, ОС, ЛС на все виды работ и затрат) с учетом «Требований к сметной документации в составе ПИР» от 20.04.2020 ООО «ЕвроСибЭнерго-Гидрогенерация»,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«ЕвроСибЭнерго-Гидрогенерация»).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  <w:tab w:val="left" w:pos="2138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Комплектность, содержание и вид проектной и рабочей документации должны соответствовать: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Градостроительному кодексу РФ;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Постановлению Правительства Российской Федерации от 16.02.2008 № 87 «О составе разделов проектной документации и требованиях к их содержанию»;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Федеральному закону от 30.12.2009 № 384-Ф3 «Технический регламент о безопасности зданий и сооружений»;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Федеральному закону от 22.07.2008 №123-ФЗ «Технический регламент о требованиях пожарной безопасности»;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Перечень</w:t>
      </w:r>
      <w:r w:rsidRPr="005B72C8">
        <w:rPr>
          <w:rFonts w:ascii="Times New Roman" w:hAnsi="Times New Roman" w:cs="Times New Roman"/>
          <w:sz w:val="24"/>
          <w:szCs w:val="24"/>
        </w:rPr>
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(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У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тв.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Постановлени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ем 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Правительства РФ от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28.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0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5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.202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1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N 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815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 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>ГОСТ Р 21.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401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>-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88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«Система проектной документации для строительства (СПДС). 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Технология производства. Основные требования к рабочим чертежам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>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ГОСТ 21.501-20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18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«Система проектной документации для строительства. Правила выполнения рабочей документации архитектурных и конструктивных решений»;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«</w:t>
      </w:r>
      <w:r w:rsidRPr="005B72C8">
        <w:rPr>
          <w:rFonts w:ascii="Times New Roman" w:hAnsi="Times New Roman" w:cs="Times New Roman"/>
          <w:sz w:val="24"/>
          <w:szCs w:val="24"/>
        </w:rPr>
        <w:t>Об утверждении требований к материалам оценки воздействия на окружающую среду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» (приказ Минприроды России от 01.12.2020 г. № 999);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СП 32.13330.2018 «Канализация. Наружные сети и сооружения»;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Федеральному закону от 23.11.1995 № 174-ФЗ «Об экологической экспертизе»;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Правила устройства электроустановок (ПУЭ);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«Рекомендации по расчету систем сбора, отведения и очистки поверхностного стока селитебных территорий, площадок предприятий и определению условий выпуска его в водные объекты» (НИИ ВОДГЕО, Москва 2015г.).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Указанный перечень НТД не является полным и окончательным. При проектировании необходимо руководствоваться актуализированными редакциями документов, действующих на момент разработки документации.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Рабочая документация разрабатывается на весь период строительства на основе утвержденных в проектной документации, технических и технологических решений в соответствии с действующими нормами, правилами и регламентами.</w:t>
      </w:r>
    </w:p>
    <w:p w:rsidR="000616B1" w:rsidRPr="00D93E4B" w:rsidRDefault="000616B1" w:rsidP="000616B1">
      <w:pPr>
        <w:tabs>
          <w:tab w:val="left" w:pos="709"/>
          <w:tab w:val="left" w:pos="851"/>
          <w:tab w:val="left" w:pos="1134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Основные данные и требования к проектным решениям.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Предусмотреть организованный сбор, очистку и водоотведение поверхностных ливневых и талых сточных вод, дренажных вод ОРУ-110, ОРУ-220 и промышленной площадки </w:t>
      </w:r>
      <w:proofErr w:type="spellStart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Ондской</w:t>
      </w:r>
      <w:proofErr w:type="spellEnd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 (далее – сточные воды) в соответствии с требованиями действующего природоохранного законодательства с делением на последовательные этапы в объеме, необходимом для реализации каждого этапа строительства и поэтапного ввода объектов строительства в эксплуатацию.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Выпуски очищенных сточных вод, их параметры и местоположение предусмотреть в соответствии с требованиями действующего природоохранного законодательства.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Перечень показателей (загрязняющих веществ) сточных вод, подлежащих очистке, определяется в соответствии с требованиями действующего природоохранного законодательства. Качество очищенных сточных вод (значения показателей загрязняющих веществ) должно соответствовать утвержденным нормативам качества воды в водных объектах </w:t>
      </w:r>
      <w:proofErr w:type="spellStart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рыбохозяйственного</w:t>
      </w:r>
      <w:proofErr w:type="spellEnd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значения, в том числе нормативам предельно допустимых концентраций вредных веществ в водах водных объектов </w:t>
      </w:r>
      <w:proofErr w:type="spellStart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рыбохозяйственного</w:t>
      </w:r>
      <w:proofErr w:type="spellEnd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значения. 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6B1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сточных вод</w:t>
      </w:r>
      <w:r w:rsidRPr="000616B1">
        <w:rPr>
          <w:rFonts w:ascii="Times New Roman" w:eastAsia="Calibri" w:hAnsi="Times New Roman" w:cs="Times New Roman"/>
          <w:sz w:val="24"/>
          <w:szCs w:val="24"/>
        </w:rPr>
        <w:t>, подлежащих организованному сбору и очистке определить согласно требованиям действующих нормативных документов.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Применение в составе оборудования систем автоматического контроля объема очищаемых сточных вод и организация места для отбора очищенных сточных вод для проверки качества.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Предусмотреть проектные решения по обеззараживанию сбрасываемых сточных вод в соответствии с действующими санитарными нормами и правилами.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Применение комплекса мероприятий по благоустройству территории после завершения СМР.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Комплекс инженерных изысканий выполнить в объеме, необходимом для принятия проектных решений, в том числе для прохождения государственных экспертиз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 в соответствии с: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47.13330.2016 Инженерные изыскания для строительства. Основные положения. Актуализированная редакция СНиП 11-02-96;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11-102-97 «Инженерно-экологические изыскания для строительства»;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11-104-97 «Инженерно-геодезические изыскания для строительства»;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11-105-97 «Инженерно-геологические изыскания для строительства»;</w:t>
      </w:r>
    </w:p>
    <w:p w:rsidR="000616B1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ГОСТ Р 53607-2009 «Глобальная навигационная спутниковая система. Методы и технологии выполнения геодезических и землеустроительных работ. Определение относительных координат по измерениям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псевдодальностей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. Основные положения»;</w:t>
      </w:r>
    </w:p>
    <w:p w:rsidR="000616B1" w:rsidRPr="009B39B7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ГОСТ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Р 21.101-2020 «Система проектной документации для строительства. Основные требования к рабочей и проектной документации»;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ГОСТ 31937-2011 «Здания и сооружения. Правила обследования и мониторинга технического состояния»;</w:t>
      </w:r>
    </w:p>
    <w:p w:rsidR="000616B1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ГОСТ 21.301-2014 «Система проектной документации для строительства (СПДС). Основные требования к оформлению отчетной документации по инженерным изысканиям».</w:t>
      </w:r>
    </w:p>
    <w:p w:rsidR="000616B1" w:rsidRPr="005B72C8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Выполнить изыскания и подготовить отчеты по: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Инженерно-экологическим изысканиям;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Инженерно-гидрометеорологическим изысканиям;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Инженерно-геологическим изысканиям;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Инженерно-геодезическим изысканиям.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Инженерные изыскания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, перечисленные в п. 6.8.9.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выполнить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единовременно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и оформить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одним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отчетом для всех этапов строительства.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Указанный перечень НТД не является полным и окончательным. При проведении инженерных изысканий необходимо руководствоваться актуализированными редакциями документов.</w:t>
      </w:r>
    </w:p>
    <w:p w:rsidR="000616B1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При выполнении инженерно-экологических изысканий проектная организация подготавливает и утверждает программу инженерно-экологических изысканий, в том числе программу отбора проб (включая точки и объем отбора проб, перечень контролируемых показателей) для определения уровней загрязнения в полном объеме согласно требованиям действующего законодательства. После утверждения программы отбора проб проектная организация обращается в специализированную организацию (испытательную лабораторию (центр)), аккредитованную в соответствии с законодательством Российской Федерации об аккредитации в национальной системе аккредитации по показателям, приведенным в программе отбора проб, с целью получения услуг по отбору проб и проведению необходимых лабораторных исследований.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</w:p>
    <w:p w:rsidR="000616B1" w:rsidRPr="00D93E4B" w:rsidRDefault="000616B1" w:rsidP="000616B1">
      <w:pPr>
        <w:widowControl w:val="0"/>
        <w:tabs>
          <w:tab w:val="left" w:pos="0"/>
          <w:tab w:val="left" w:pos="142"/>
          <w:tab w:val="left" w:pos="567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Программы необходимо разработать и утвердить по всем видам изысканий, перечисленным в п. 6.8.9.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Содержание результатов инженерных изысканий должно быть достаточным для разработки проектной, рабочей документации и прохождения государственной проектной и экологической экспертизы.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Состав проектной документации должен быть достаточным для прохождения государственных экспертиз, в том числе экологической.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Проектные решения требуется согласовать с Генеральным проектировщиком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Ондской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:</w:t>
      </w:r>
      <w:r w:rsidRPr="009B39B7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B72C8">
        <w:rPr>
          <w:rFonts w:ascii="Times New Roman" w:hAnsi="Times New Roman" w:cs="Times New Roman"/>
          <w:sz w:val="24"/>
          <w:szCs w:val="24"/>
        </w:rPr>
        <w:t>Акционерное общество «</w:t>
      </w:r>
      <w:proofErr w:type="spellStart"/>
      <w:r w:rsidRPr="005B72C8">
        <w:rPr>
          <w:rFonts w:ascii="Times New Roman" w:hAnsi="Times New Roman" w:cs="Times New Roman"/>
          <w:sz w:val="24"/>
          <w:szCs w:val="24"/>
        </w:rPr>
        <w:t>Ленгидропроект</w:t>
      </w:r>
      <w:proofErr w:type="spellEnd"/>
      <w:r w:rsidRPr="005B72C8">
        <w:rPr>
          <w:rFonts w:ascii="Times New Roman" w:hAnsi="Times New Roman" w:cs="Times New Roman"/>
          <w:sz w:val="24"/>
          <w:szCs w:val="24"/>
        </w:rPr>
        <w:t>»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Рабочая документация должна быть разработана в объеме, достаточном для строительства.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«Смета на строительство объектов капитального строительства» должна быть выполнена в полном объеме с учетом «Требований к сметной документации в составе ПИР» от 20.04.2020 ООО «ЕвроСибЭнерго-Гидрогенерация»,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«ЕвроСибЭнерго-Гидрогенерация».</w:t>
      </w:r>
    </w:p>
    <w:p w:rsidR="000616B1" w:rsidRPr="00D93E4B" w:rsidRDefault="000616B1" w:rsidP="000616B1">
      <w:pPr>
        <w:tabs>
          <w:tab w:val="left" w:pos="567"/>
          <w:tab w:val="left" w:pos="851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Этапы строительства.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 составе проекта предусмотреть следующую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этапность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реализации: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Этап 1. «Очистные сооружения поверхностных ливневых (дождевых) и талых сточных вод правого берега.»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Этап 2. «Очистные сооружения поверхностных ливневых (дождевых) и талых сточных вод левого берега.»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0"/>
          <w:tab w:val="left" w:pos="568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Этап 3. «Очистные сооружения поверхностных ливневых (дождевых) и талых сточных вод, дренажных вод бетонной плотины.»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0"/>
          <w:tab w:val="left" w:pos="568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Этап 4. «Очистные сооружения поверхностных ливневых (дождевых) и талых сточных вод с площадок маслонаполненного оборудования ОРУ-110, ОРУ-220 и блочных трансформаторов.» </w:t>
      </w:r>
    </w:p>
    <w:p w:rsidR="000616B1" w:rsidRPr="00D93E4B" w:rsidRDefault="000616B1" w:rsidP="000616B1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Особые условия проектирования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Сейсмичность района строительства - 5 баллов (</w:t>
      </w:r>
      <w:r w:rsidRPr="00D93E4B">
        <w:rPr>
          <w:rFonts w:ascii="Times New Roman" w:eastAsia="Calibri" w:hAnsi="Times New Roman" w:cs="Times New Roman"/>
          <w:sz w:val="24"/>
          <w:szCs w:val="24"/>
        </w:rPr>
        <w:t>по шкале М</w:t>
      </w:r>
      <w:r w:rsidRPr="00D93E4B">
        <w:rPr>
          <w:rFonts w:ascii="Times New Roman" w:eastAsia="Calibri" w:hAnsi="Times New Roman" w:cs="Times New Roman"/>
          <w:sz w:val="24"/>
          <w:szCs w:val="24"/>
          <w:lang w:val="en-US"/>
        </w:rPr>
        <w:t>SK</w:t>
      </w:r>
      <w:r w:rsidRPr="00D93E4B">
        <w:rPr>
          <w:rFonts w:ascii="Times New Roman" w:eastAsia="Calibri" w:hAnsi="Times New Roman" w:cs="Times New Roman"/>
          <w:sz w:val="24"/>
          <w:szCs w:val="24"/>
        </w:rPr>
        <w:t>-64).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Уровень ответственности - нормальный.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Производство работ в условиях действующего предприятия.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975889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Дополнительные требования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</w:t>
      </w: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должен быть включен в реестр членов СРО изыскателей и проектировщиков. 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>Система менеджмента качества должна быть сертифицирована в соответствии с требованиями ГОСТ Р ИСО 9001-2015.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отзывов заказчиков по объектам проектирования, по которым выполнялись работы по проектированию систем ливневой канализации, включа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локальные очистные сооружения.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Предоставить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референс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>лист по объектам – аналогам, введенным в эксплуатацию по выполненным проектам с контактными данными</w:t>
      </w:r>
      <w:r w:rsidRPr="00975889">
        <w:rPr>
          <w:rFonts w:ascii="Times New Roman" w:hAnsi="Times New Roman" w:cs="Times New Roman"/>
          <w:color w:val="1F497D"/>
          <w:sz w:val="24"/>
          <w:szCs w:val="24"/>
        </w:rPr>
        <w:t>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Перед началом проектирования выполнить в необходимом объеме визуальный осмотр, обмеры, ознакомление с существующей технической документацией и сбор всей необходимой для выполнения проекта информации. </w:t>
      </w:r>
    </w:p>
    <w:p w:rsidR="000616B1" w:rsidRPr="00D93E4B" w:rsidRDefault="000616B1" w:rsidP="00546E2D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На начальной стадии разработки проектной документации п</w:t>
      </w:r>
      <w:r w:rsidR="00546E2D">
        <w:rPr>
          <w:rFonts w:ascii="Times New Roman" w:eastAsia="Calibri" w:hAnsi="Times New Roman" w:cs="Times New Roman"/>
          <w:sz w:val="24"/>
          <w:szCs w:val="24"/>
        </w:rPr>
        <w:t xml:space="preserve">одготовить раздел ОТР (основные технические решения). </w:t>
      </w:r>
      <w:r w:rsidRPr="00D93E4B">
        <w:rPr>
          <w:rFonts w:ascii="Times New Roman" w:eastAsia="Calibri" w:hAnsi="Times New Roman" w:cs="Times New Roman"/>
          <w:sz w:val="24"/>
          <w:szCs w:val="24"/>
        </w:rPr>
        <w:t>В части основных технических решений выполнить следующие мероприятия: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Обследование строительных площадок с целью определения технического состояния конструкций, инженерных сетей, сооружений и возможности реализации проектных решений;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Разработка основных технических решений с указанием технических требований к основному оборудованию и материалам для выбора их типов и марок;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Согласование с Заказчиком основных технических решений и выбор оборудования;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426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 составе проекта предусмотреть составление закупочной документации для проведения торгово-закупочных процедур в соответствии с требованиями ООО «ЕвроСибЭнерго-тепловая энергия»; 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Внесение изменений и дополнений в принятые проектные решения (по итогам проведения торгово-закупочных процедур в соответствии с требованиями ООО «ЕвроСибЭнерго-тепловая энергия»).</w:t>
      </w:r>
    </w:p>
    <w:p w:rsidR="007B4A6F" w:rsidRPr="001F124D" w:rsidRDefault="0080463C" w:rsidP="001F124D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24D">
        <w:rPr>
          <w:rFonts w:ascii="Times New Roman" w:eastAsia="Calibri" w:hAnsi="Times New Roman" w:cs="Times New Roman"/>
          <w:sz w:val="24"/>
          <w:szCs w:val="24"/>
        </w:rPr>
        <w:t>Обеспечить положительное согласование необходимых материалов (томов) проектной документации в Северо-Западном территориальном управлении Федерального агентства по рыболовству.</w:t>
      </w:r>
    </w:p>
    <w:p w:rsidR="000616B1" w:rsidRPr="00D93E4B" w:rsidRDefault="00BE34FF" w:rsidP="001F124D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>Обеспечить положительное прохождение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государственн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ой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экспертиз</w:t>
      </w:r>
      <w:r w:rsidR="0019344E">
        <w:rPr>
          <w:rFonts w:ascii="Times New Roman" w:eastAsia="Calibri" w:hAnsi="Times New Roman" w:cs="Times New Roman"/>
          <w:spacing w:val="-4"/>
          <w:sz w:val="24"/>
          <w:szCs w:val="24"/>
        </w:rPr>
        <w:t>ы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проектной документации и результатов инженерных изысканий, </w:t>
      </w:r>
      <w:r w:rsidR="0080463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 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государственн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ой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экологическ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ой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экспертиз</w:t>
      </w:r>
      <w:r w:rsidR="0019344E">
        <w:rPr>
          <w:rFonts w:ascii="Times New Roman" w:eastAsia="Calibri" w:hAnsi="Times New Roman" w:cs="Times New Roman"/>
          <w:spacing w:val="-4"/>
          <w:sz w:val="24"/>
          <w:szCs w:val="24"/>
        </w:rPr>
        <w:t>ы</w:t>
      </w:r>
      <w:r w:rsidR="000616B1"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проектной документации в соответствии с Градостроительным кодексом для каждого этапа поочередно либо единовременно для всех этапов (уточняется по ходу выполнения проектно-изыскательских работ). Обязательным является сопровождение Исполнителем экспертизы и согласования проектной документации в государственных контролирующих и надзорных органах в </w:t>
      </w:r>
      <w:r w:rsidR="000616B1" w:rsidRPr="00D93E4B">
        <w:rPr>
          <w:rFonts w:ascii="Times New Roman" w:eastAsia="Calibri" w:hAnsi="Times New Roman" w:cs="Times New Roman"/>
          <w:sz w:val="24"/>
          <w:szCs w:val="24"/>
        </w:rPr>
        <w:t>соответствии с требованиями действующего законодательства при этом оплата данных процедур осуществляется за счет Заказчика.</w:t>
      </w:r>
    </w:p>
    <w:p w:rsidR="000616B1" w:rsidRPr="00D93E4B" w:rsidRDefault="000616B1" w:rsidP="001F124D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Исполнителем выполняется авторское сопровождение при согласовании и экспертизе документации в соответствующих государственных органах, необходимых в силу требований действующего законодательства РФ.</w:t>
      </w:r>
    </w:p>
    <w:p w:rsidR="000616B1" w:rsidRPr="00D93E4B" w:rsidRDefault="000616B1" w:rsidP="001F124D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Исполнителем выполняется корректировка и безвозмездное устранение замечаний, выявленных при аудиторских проверках разного уровня и при проверках документации в контролирующих органах. </w:t>
      </w:r>
    </w:p>
    <w:p w:rsidR="000616B1" w:rsidRPr="00D93E4B" w:rsidRDefault="000616B1" w:rsidP="001F124D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Исполнитель в процессе проектирования получает все необходимые для выполнения проектных работ и сопровождения экспертиз проектной документации согласования в контролирующих надзорных органах.</w:t>
      </w:r>
    </w:p>
    <w:p w:rsidR="000616B1" w:rsidRPr="00D93E4B" w:rsidRDefault="000616B1" w:rsidP="001F124D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Исполнителем предоставляется перечень Технических условий согласно требованиям действующего законодательства, необходимых для проектирования объекта и его дальнейшей эксплуатации, Технические условия на подключение проектируемого объекта к сетям инженерно-технического обеспечения представляет Заказчик.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В сметной документации предусмотреть затраты на проведение работ по авторскому надзору за выполнением строительно-монтажных работ в целях обеспечения соответствия технологических, строительных и других технических решений с ведением журнала авторского надзора.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Предусмотреть мероприятия по безаварийной эксплуатации (ремонтопригодность, мероприятия по поддержанию системы в исправном состоянии) на протяжении всего срока службы.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Проектную и рабочую документацию предоставить в 4 экземплярах на бумажном носителе и в 1 экземпляре на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  <w:lang w:val="en-US"/>
        </w:rPr>
        <w:t>USB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-носителе в формате PDF (рабочая документация, кроме того, должна быть представлена в формате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Visio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)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сметная документация также предоставляется в формате программного комплекса «Гранд-смета»,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Excel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Сметная документация на ПНР должна быть выполнена на основании разработанной проектной организацией и согласованной с заказчиком программы пусконаладочных работ (ведомости объемов работ), в которой должны быть указаны условия производства работ, в полном соответствии с действующей нормативно-методической документацией.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Исполнитель в течение двух рабочих дней по письменному запросу информирует Заказчика в письменной форме о статусе выполнения работ. В случае наличия замечаний к рабочей документации, выявленных в процессе строительства, Исполнитель вносит корректировки в документацию за свой счет.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Ответственность за состав проектной и рабочей документации возлагается на ГИП исполнителя.</w:t>
      </w:r>
    </w:p>
    <w:p w:rsidR="00975889" w:rsidRDefault="000616B1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Доступ на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ую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 для сбора необходимой для проектирования информации, к исходным данным осуществляется по письменному запросу проектной организации.</w:t>
      </w:r>
    </w:p>
    <w:p w:rsidR="00975889" w:rsidRPr="00D93E4B" w:rsidRDefault="00975889" w:rsidP="0097588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1429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Срок </w:t>
      </w: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выполнения</w:t>
      </w:r>
      <w:r w:rsidRPr="00D93E4B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 проекта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Согласно календарного плана, согласованного сторонами.</w:t>
      </w:r>
    </w:p>
    <w:p w:rsidR="000616B1" w:rsidRPr="00D93E4B" w:rsidRDefault="000616B1" w:rsidP="000616B1">
      <w:pPr>
        <w:tabs>
          <w:tab w:val="left" w:pos="851"/>
          <w:tab w:val="left" w:pos="1134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Заказчик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ООО «ЕвроСибЭнерго-тепловая энергия» (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Ондская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ГЭС).</w:t>
      </w:r>
    </w:p>
    <w:p w:rsidR="000616B1" w:rsidRPr="00D93E4B" w:rsidRDefault="000616B1" w:rsidP="000616B1">
      <w:pPr>
        <w:widowControl w:val="0"/>
        <w:tabs>
          <w:tab w:val="left" w:pos="567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z w:val="24"/>
          <w:szCs w:val="24"/>
        </w:rPr>
        <w:t>Исходные данные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Генеральный план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промплощадки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Ондской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ГЭС;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предТЭО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Разрешительная документация водопользования, водоотведения;</w:t>
      </w:r>
    </w:p>
    <w:p w:rsidR="000616B1" w:rsidRPr="00D93E4B" w:rsidRDefault="000616B1" w:rsidP="000616B1">
      <w:pPr>
        <w:tabs>
          <w:tab w:val="left" w:pos="851"/>
          <w:tab w:val="left" w:pos="1276"/>
        </w:tabs>
        <w:spacing w:after="0" w:line="240" w:lineRule="auto"/>
        <w:ind w:left="567" w:firstLine="284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3E4B">
        <w:rPr>
          <w:rFonts w:ascii="Times New Roman" w:eastAsia="Calibri" w:hAnsi="Times New Roman" w:cs="Times New Roman"/>
          <w:sz w:val="24"/>
          <w:szCs w:val="24"/>
        </w:rPr>
        <w:t>.4. Данные об объемах и качестве сточных вод, отводимых в водные объекты;</w:t>
      </w:r>
    </w:p>
    <w:p w:rsidR="000616B1" w:rsidRPr="00D93E4B" w:rsidRDefault="000616B1" w:rsidP="000616B1">
      <w:pPr>
        <w:tabs>
          <w:tab w:val="left" w:pos="851"/>
          <w:tab w:val="left" w:pos="1276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546E2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93E4B">
        <w:rPr>
          <w:rFonts w:ascii="Times New Roman" w:eastAsia="Calibri" w:hAnsi="Times New Roman" w:cs="Times New Roman"/>
          <w:sz w:val="24"/>
          <w:szCs w:val="24"/>
        </w:rPr>
        <w:t>Информация о планировочных, конструктивных и эксплуатационных особенностях площадки проектирования, необходимая для выполнения проектных работ, по запросу Исполнителя;</w:t>
      </w:r>
    </w:p>
    <w:p w:rsidR="000616B1" w:rsidRPr="00D93E4B" w:rsidRDefault="000616B1" w:rsidP="000616B1">
      <w:pPr>
        <w:tabs>
          <w:tab w:val="left" w:pos="851"/>
          <w:tab w:val="left" w:pos="1276"/>
        </w:tabs>
        <w:spacing w:after="0" w:line="240" w:lineRule="auto"/>
        <w:ind w:left="567" w:firstLine="284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D93E4B">
        <w:rPr>
          <w:rFonts w:ascii="Times New Roman" w:eastAsia="Calibri" w:hAnsi="Times New Roman" w:cs="Times New Roman"/>
          <w:sz w:val="24"/>
        </w:rPr>
        <w:t xml:space="preserve">. </w:t>
      </w:r>
      <w:r w:rsidRPr="00D93E4B">
        <w:rPr>
          <w:rFonts w:ascii="Times New Roman" w:eastAsia="Calibri" w:hAnsi="Times New Roman" w:cs="Times New Roman"/>
          <w:sz w:val="24"/>
          <w:szCs w:val="24"/>
        </w:rPr>
        <w:t>Получение иной информации обеспечивается исполнителем самостоятельно своими силами и за свой счет.</w:t>
      </w:r>
    </w:p>
    <w:p w:rsidR="000616B1" w:rsidRPr="00D93E4B" w:rsidRDefault="000616B1" w:rsidP="000616B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tabs>
          <w:tab w:val="left" w:pos="567"/>
          <w:tab w:val="left" w:pos="993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ПТО                                 К.И. Бондарович</w:t>
      </w: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ООС (</w:t>
      </w:r>
      <w:proofErr w:type="gramStart"/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эколог)   </w:t>
      </w:r>
      <w:proofErr w:type="gramEnd"/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Шумская</w:t>
      </w:r>
      <w:proofErr w:type="spellEnd"/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616B1" w:rsidRPr="00D93E4B" w:rsidRDefault="000616B1" w:rsidP="000616B1">
      <w:pPr>
        <w:spacing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B951FB" w:rsidRDefault="00B951FB"/>
    <w:sectPr w:rsidR="00B95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667FB"/>
    <w:multiLevelType w:val="hybridMultilevel"/>
    <w:tmpl w:val="15547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A2C24"/>
    <w:multiLevelType w:val="multilevel"/>
    <w:tmpl w:val="30548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670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5.1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51"/>
    <w:rsid w:val="000616B1"/>
    <w:rsid w:val="000E3C70"/>
    <w:rsid w:val="001579A4"/>
    <w:rsid w:val="0019344E"/>
    <w:rsid w:val="001F124D"/>
    <w:rsid w:val="00256C95"/>
    <w:rsid w:val="00330F07"/>
    <w:rsid w:val="00546E2D"/>
    <w:rsid w:val="006C2AA6"/>
    <w:rsid w:val="007862D9"/>
    <w:rsid w:val="007B4A6F"/>
    <w:rsid w:val="0080463C"/>
    <w:rsid w:val="009273AB"/>
    <w:rsid w:val="00975889"/>
    <w:rsid w:val="00A22802"/>
    <w:rsid w:val="00A41371"/>
    <w:rsid w:val="00A7564E"/>
    <w:rsid w:val="00B951FB"/>
    <w:rsid w:val="00BE34FF"/>
    <w:rsid w:val="00D916DD"/>
    <w:rsid w:val="00DD2719"/>
    <w:rsid w:val="00E76191"/>
    <w:rsid w:val="00F3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E4C14-5B83-4637-8A60-2CA76A69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889"/>
    <w:pPr>
      <w:spacing w:after="0" w:line="240" w:lineRule="auto"/>
      <w:ind w:left="720"/>
    </w:pPr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75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5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0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7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Shumskaya Karina</dc:creator>
  <cp:keywords/>
  <dc:description/>
  <cp:lastModifiedBy>Засыпкина Лариса Васильевна</cp:lastModifiedBy>
  <cp:revision>18</cp:revision>
  <cp:lastPrinted>2022-08-05T12:27:00Z</cp:lastPrinted>
  <dcterms:created xsi:type="dcterms:W3CDTF">2022-06-15T10:20:00Z</dcterms:created>
  <dcterms:modified xsi:type="dcterms:W3CDTF">2022-09-19T07:57:00Z</dcterms:modified>
</cp:coreProperties>
</file>